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C50" w:rsidRDefault="00092051" w:rsidP="003E6C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задание №03</w:t>
      </w:r>
      <w:r w:rsidR="003E6C50" w:rsidRPr="003E6C50">
        <w:rPr>
          <w:rFonts w:ascii="Times New Roman" w:hAnsi="Times New Roman" w:cs="Times New Roman"/>
          <w:b/>
          <w:sz w:val="24"/>
          <w:szCs w:val="24"/>
        </w:rPr>
        <w:t>-</w:t>
      </w:r>
      <w:r w:rsidR="00A66B0F">
        <w:rPr>
          <w:rFonts w:ascii="Times New Roman" w:hAnsi="Times New Roman" w:cs="Times New Roman"/>
          <w:b/>
          <w:sz w:val="24"/>
          <w:szCs w:val="24"/>
        </w:rPr>
        <w:t>1-</w:t>
      </w:r>
      <w:r w:rsidR="003E6C50" w:rsidRPr="003E6C50">
        <w:rPr>
          <w:rFonts w:ascii="Times New Roman" w:hAnsi="Times New Roman" w:cs="Times New Roman"/>
          <w:b/>
          <w:sz w:val="24"/>
          <w:szCs w:val="24"/>
        </w:rPr>
        <w:t>Выбор бульдозера</w:t>
      </w:r>
      <w:r w:rsidR="008B3EA3">
        <w:rPr>
          <w:rFonts w:ascii="Times New Roman" w:hAnsi="Times New Roman" w:cs="Times New Roman"/>
          <w:b/>
          <w:sz w:val="24"/>
          <w:szCs w:val="24"/>
        </w:rPr>
        <w:t xml:space="preserve"> и его производительность.</w:t>
      </w:r>
    </w:p>
    <w:p w:rsidR="003E6C50" w:rsidRPr="003E6C50" w:rsidRDefault="003E6C50" w:rsidP="003E6C50">
      <w:pPr>
        <w:shd w:val="clear" w:color="auto" w:fill="FFFFFF"/>
        <w:spacing w:after="0" w:line="240" w:lineRule="auto"/>
        <w:ind w:right="45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E6C5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Подбор бульдозера.</w:t>
      </w:r>
    </w:p>
    <w:p w:rsidR="003E6C50" w:rsidRPr="003E6C50" w:rsidRDefault="003E6C50" w:rsidP="003E6C50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Срезку растительного слоя и его транспортирование, доработку грунта в котловане и планировку дна котлована производят бульдозером. Тип бульдозера определяют в зависимости от расстояния транспортирования грунта </w:t>
      </w:r>
      <w:r w:rsidRPr="003E6C50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L тр</w:t>
      </w: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 которое зависит от схемы работы бульдозера при срезке растительного слоя грунта. Схема работы бульдозера определяется, в основном, от дальности перемещения грунта и толщины срезаемого слоя.</w:t>
      </w:r>
    </w:p>
    <w:p w:rsidR="003E6C50" w:rsidRPr="003E6C50" w:rsidRDefault="003E6C50" w:rsidP="003E6C50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При дальности перемещения с грунтом на расстояние:</w:t>
      </w:r>
    </w:p>
    <w:p w:rsidR="003E6C50" w:rsidRPr="003E6C50" w:rsidRDefault="003E6C50" w:rsidP="003E6C5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1. </w:t>
      </w:r>
      <w:r w:rsidRPr="003E6C50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L тр</w:t>
      </w:r>
      <w:r w:rsidRPr="003E6C5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=</w:t>
      </w: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10...30 м назначают малогабаритный (тяговое усилие до 40 кН) бульдозер;</w:t>
      </w:r>
    </w:p>
    <w:p w:rsidR="003E6C50" w:rsidRPr="003E6C50" w:rsidRDefault="003E6C50" w:rsidP="003E6C5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2. </w:t>
      </w:r>
      <w:r w:rsidRPr="003E6C50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L тр</w:t>
      </w:r>
      <w:r w:rsidRPr="003E6C5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=</w:t>
      </w: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30...50 м - легкий (до 60 кН);</w:t>
      </w:r>
    </w:p>
    <w:p w:rsidR="003E6C50" w:rsidRPr="003E6C50" w:rsidRDefault="003E6C50" w:rsidP="003E6C5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3. </w:t>
      </w:r>
      <w:r w:rsidRPr="003E6C50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L тр</w:t>
      </w:r>
      <w:r w:rsidRPr="003E6C5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=</w:t>
      </w: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при 50…70 - средний (до 100кН);</w:t>
      </w:r>
    </w:p>
    <w:p w:rsidR="003E6C50" w:rsidRPr="003E6C50" w:rsidRDefault="003E6C50" w:rsidP="003E6C5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4. </w:t>
      </w:r>
      <w:r w:rsidRPr="003E6C50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L тр</w:t>
      </w:r>
      <w:r w:rsidRPr="003E6C5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=</w:t>
      </w:r>
      <w:r w:rsidRPr="003E6C50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при 100...150 м - тяжелый (до 150...250 кН).</w:t>
      </w:r>
    </w:p>
    <w:p w:rsidR="00D719A5" w:rsidRPr="002C2403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C2403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1. Исходные данные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 подготовительным работам относят снятие растительного и вскрышного слоев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грунтов. В данной работе рассматривается технология разработки растительного слоя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грунта.</w:t>
      </w:r>
    </w:p>
    <w:p w:rsidR="00D719A5" w:rsidRPr="002C2403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C2403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2. Состав задания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2.1. Изучить ГОСТ [3];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2.2. Размеры котлована и толщину растительного слоя грунта принимаем по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2C240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схеме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2.3. Определение параметров бульдозера;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2.4. Определение производительности бульдозера;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2.5. Разработать схему снятия растительного слоя грунта.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3. Рекомендации по выполнению</w:t>
      </w:r>
    </w:p>
    <w:p w:rsidR="00D719A5" w:rsidRPr="002C2403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C2403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3.1. Общие сведения</w:t>
      </w:r>
    </w:p>
    <w:p w:rsidR="00BA14C8" w:rsidRDefault="00D719A5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Растительный слой грунта до начала основных земляных работ должен быть снят в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пределах, установленных проектом, и уложен в отвалы (кавальеры). Позднее его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используют для укрепления откосов и рекультивации нарушенных или малопродуктивных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сельскохозяйственных земель, а также для озеленения различных площадей. Снимать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слой следует до наступления морозов, при этом обязательно соблюдать СП 45.13330.2012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(СНиП 3.02.01-87) и ГОСТ 17.5.3.06-85.</w:t>
      </w: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46EFCF53" wp14:editId="78F19052">
            <wp:simplePos x="0" y="0"/>
            <wp:positionH relativeFrom="column">
              <wp:posOffset>449031</wp:posOffset>
            </wp:positionH>
            <wp:positionV relativeFrom="paragraph">
              <wp:posOffset>79684</wp:posOffset>
            </wp:positionV>
            <wp:extent cx="4448175" cy="2940685"/>
            <wp:effectExtent l="19050" t="19050" r="28575" b="12065"/>
            <wp:wrapThrough wrapText="bothSides">
              <wp:wrapPolygon edited="0">
                <wp:start x="-93" y="-140"/>
                <wp:lineTo x="-93" y="21549"/>
                <wp:lineTo x="21646" y="21549"/>
                <wp:lineTo x="21646" y="-140"/>
                <wp:lineTo x="-93" y="-14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14823" r="30609" b="31871"/>
                    <a:stretch/>
                  </pic:blipFill>
                  <pic:spPr bwMode="auto">
                    <a:xfrm>
                      <a:off x="0" y="0"/>
                      <a:ext cx="4448175" cy="2940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A14C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A14C8" w:rsidRPr="003E6C50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Рис.1. Схема снятия плодородного слоя грунта бульдозером при подготовке основания насыпи:</w:t>
      </w:r>
    </w:p>
    <w:p w:rsidR="00BA14C8" w:rsidRPr="003E6C50" w:rsidRDefault="00BA14C8" w:rsidP="00BA14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1 - ось рабочего хода бульдозера; 2 - ось холостого хода бульдозера; 3 - плодородный слой; 4 – отвал плодородного слоя грунта (кавальер).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После срезки растительный слой необходимо консервировать. Срезают при помощи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грейдеров, бульдозеров и скреперов. Наиболее эффективно применять бульдозеры,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которые могут перемещать грунт на расстояние до 100 м или окучивать его в штабеля для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последующей погрузки в автосамосвалы одноковшовым экскаватором или тракторным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погрузчиком и вывоза.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3.2. Подготовительные и вскрышные работы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Перед началом работ в котлованах проводятся подготовительные и вскрышные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работы, обеспечивающие в дальнейшем нормальную бесперебойную работу. При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подготовительных работах удаляют растительность, устраивают водоотводные канавы и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подъездные пути.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Для расчистки площадей, заросших кустарником и редкими небольшими деревьями,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применяют кусторез, который представляет собой навесное оборудование к трактору.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Заболоченные участки, покрытые сплошным кустарником и деревьями, очищают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кусторезом Д-306А с уширенными гусеницами. Для корчевания крупных пней, валки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деревьев диаметром до 35 см, срезки кустарников и рыхления почвы применяют навесные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корчеватели.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процессе подготовительных работ особенное внимание надо уделять устройству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подъездных путей к котловану (карьеру). При вскрышных работах удаляют растительный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слой, почву, подзол, песок, т.е. все непригодные для производства слои, покрывающие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толщу глины.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Землеройное оборудование и способ вскрышных работ выбирают в соответствии с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особенностями котлована и рельефа местности на основе проекта разработки котлована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Грунт режут и перемещают отвалом бульдозера. Бульдозеры используют при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дальности перемещения грунта до 100 м.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 срезке грунта растительного слоя челночным способом согласно рисунку 2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заполнение отвала грунтом, его перемещение производится при движении бульдозера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вперед, а холостой ход - при движении бульдозера задним ходом по той же прямой.</w:t>
      </w: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18999676" wp14:editId="572DFC24">
            <wp:simplePos x="0" y="0"/>
            <wp:positionH relativeFrom="column">
              <wp:posOffset>210185</wp:posOffset>
            </wp:positionH>
            <wp:positionV relativeFrom="paragraph">
              <wp:posOffset>114935</wp:posOffset>
            </wp:positionV>
            <wp:extent cx="5411470" cy="3401695"/>
            <wp:effectExtent l="19050" t="19050" r="17780" b="27305"/>
            <wp:wrapThrough wrapText="bothSides">
              <wp:wrapPolygon edited="0">
                <wp:start x="-76" y="-121"/>
                <wp:lineTo x="-76" y="21652"/>
                <wp:lineTo x="21595" y="21652"/>
                <wp:lineTo x="21595" y="-121"/>
                <wp:lineTo x="-76" y="-12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30216" r="28205" b="13626"/>
                    <a:stretch/>
                  </pic:blipFill>
                  <pic:spPr bwMode="auto">
                    <a:xfrm>
                      <a:off x="0" y="0"/>
                      <a:ext cx="5411470" cy="340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Рис.2. Схема производства работ при срезке грунта растительного слоя челночным способом:1 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ось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котлована; 2 - бульдозер; 3 - рабочий ход бульдозера; 4 - холостой ход бульдозера; 5 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место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складирования грунта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Срезка грунта растительного слоя бульдозером на площадке ведется от середины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участка в обе стороны, образуя двухстороннее размещение отвалов.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Площадь участка строительства разбивают на две захватки. Сначала бульдозер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срезает грунт растительного слоя на одной захватке и транспортирует его в ближайший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отвал, путь перемещения грунта выбирается по кратчайшему расстоянию, поверхность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пути перемещения следует предварительно выровнять бульдозером.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 окончании работ на первой захватке бульдозер разворачивается и ведет работы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второй захватке.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Разновидностью челночной схемы разработки грунта растительного слоя является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траншейная схема, представленная на рисунке 3. При траншейной схеме участок для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срезки растительного слоя грунта разделяется на ряд параллельных проходов (полос).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Разработка каждой полосы проходки начинается на ближайшем к месту укладки грунта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участке (полосе). Между рядами проходок оставляются перемычки (ребра) нетронутого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грунта шириной 0,7 м.</w:t>
      </w:r>
    </w:p>
    <w:p w:rsidR="00D719A5" w:rsidRPr="003E6C50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104775</wp:posOffset>
            </wp:positionV>
            <wp:extent cx="5774690" cy="3525520"/>
            <wp:effectExtent l="19050" t="19050" r="16510" b="17780"/>
            <wp:wrapThrough wrapText="bothSides">
              <wp:wrapPolygon edited="0">
                <wp:start x="-71" y="-117"/>
                <wp:lineTo x="-71" y="21592"/>
                <wp:lineTo x="21590" y="21592"/>
                <wp:lineTo x="21590" y="-117"/>
                <wp:lineTo x="-71" y="-11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15678" r="28685" b="36431"/>
                    <a:stretch/>
                  </pic:blipFill>
                  <pic:spPr bwMode="auto">
                    <a:xfrm>
                      <a:off x="0" y="0"/>
                      <a:ext cx="5774690" cy="3525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Рис.3. Схема производства работ при срезке растительного грунта траншейным способом:</w:t>
      </w:r>
    </w:p>
    <w:p w:rsidR="00D719A5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1, 2, 3, 4, 5, 6, 7 - траншеи; 8 - перемычки (ребро) шириной 0,7 м; 9 - участки проходов; 10 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место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складирования грунта растительного слоя; 11 - ось котлована; 12 - направление разработки грунта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растительного слоя</w:t>
      </w:r>
      <w:r w:rsid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3E6C50" w:rsidRP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После разработки грунта растительного слоя в двух первых рядах проходок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перемычки (ребра) нетронутого грунта необходимо убирать бульдозером в отвал.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Полный цикл работы бульдозера состоит из операций: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опускание отвала и установка его в требуемое положение;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срезание и заполнение отвала грунтом;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перемещение грунта растительного слоя к месту укладки;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разгрузка (укладка) грунта растительного слоя в отвал;</w:t>
      </w:r>
    </w:p>
    <w:p w:rsidR="00D719A5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возвращение бульдозера в забой.</w:t>
      </w:r>
    </w:p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C2403" w:rsidRPr="003E6C50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719A5" w:rsidRPr="002C2403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C2403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lastRenderedPageBreak/>
        <w:t>3.3. Рабочий цикл бульдозера и бульдозера-рыхлителя при разработке карьера</w:t>
      </w:r>
      <w:r w:rsidR="00A54AD5" w:rsidRPr="002C2403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</w:t>
      </w:r>
      <w:r w:rsidRPr="002C2403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(котлована) бульдозером Б10М.0811-1Е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Рабочий цикл бульдозера состоит из копания грунта, образования призмы волочения,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транспортирования ее к месту штабелирования, остановки для переключения передач и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подъема отвала, обратного хода машины, остановки для включения переднего хода и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опускания отвала на рабочую поверхность.</w:t>
      </w:r>
    </w:p>
    <w:p w:rsidR="00D719A5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Рабочий цикл бульдозера-рыхлителя состоит из операций рыхления передним ходом,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остановки для переключения передачи назад и выглубления рабочего органа, обратного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хода машины и остановки для включения передней передачи.</w:t>
      </w:r>
    </w:p>
    <w:p w:rsidR="00FB23D8" w:rsidRPr="003E6C50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Рабочий цикл (рис.4) начинается в момент первого движения машины (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). Потом следует рабочий ход (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), в процессе которого отвал срезает грунт в начале траншеи (показано жирной линией) до образования призмы волочения и транспортирует ее к месту выгрузки на кавальер со скоростью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</w:t>
      </w:r>
    </w:p>
    <w:p w:rsidR="00D719A5" w:rsidRPr="003E6C50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5BD60005" wp14:editId="3BCBA1E6">
            <wp:simplePos x="0" y="0"/>
            <wp:positionH relativeFrom="column">
              <wp:posOffset>466090</wp:posOffset>
            </wp:positionH>
            <wp:positionV relativeFrom="paragraph">
              <wp:posOffset>140867</wp:posOffset>
            </wp:positionV>
            <wp:extent cx="4589145" cy="3336290"/>
            <wp:effectExtent l="19050" t="19050" r="20955" b="16510"/>
            <wp:wrapThrough wrapText="bothSides">
              <wp:wrapPolygon edited="0">
                <wp:start x="-90" y="-123"/>
                <wp:lineTo x="-90" y="21584"/>
                <wp:lineTo x="21609" y="21584"/>
                <wp:lineTo x="21609" y="-123"/>
                <wp:lineTo x="-90" y="-12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1" t="13398" r="33173" b="38427"/>
                    <a:stretch/>
                  </pic:blipFill>
                  <pic:spPr bwMode="auto">
                    <a:xfrm>
                      <a:off x="0" y="0"/>
                      <a:ext cx="4589145" cy="3336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E6C50" w:rsidRDefault="003E6C50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B23D8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B23D8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B23D8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B23D8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B23D8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B23D8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B23D8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719A5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Рис.4. Рабочий цикл бульдозера при разработке грунта траншейным способом</w:t>
      </w:r>
      <w:r w:rsidR="00FB23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FB23D8" w:rsidRPr="003E6C50" w:rsidRDefault="00FB23D8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 перемещении материала машинист продолжает набирать грунт в призму, так как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неизбежны утечки его в боковые валики. После этого машина останавливается (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 для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разгрузки и подъема отвала на 200...300 мм над поверхностью дна траншеи и включения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задней передачи. Холостой ход (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IV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) бульдозера выполняют со скоростью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з. Последняя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операция цикла - остановка (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 машины для включения передней передачи и опускания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отвала. Опытные машинисты совмещают переключение передач и рабочие движения</w:t>
      </w:r>
      <w:r w:rsidR="00A54AD5"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рабочего оборудования.</w:t>
      </w:r>
    </w:p>
    <w:p w:rsidR="00D719A5" w:rsidRPr="002C2403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2403">
        <w:rPr>
          <w:rFonts w:ascii="Times New Roman" w:hAnsi="Times New Roman" w:cs="Times New Roman"/>
          <w:i/>
          <w:sz w:val="24"/>
          <w:szCs w:val="24"/>
        </w:rPr>
        <w:t>3.4. Определение производительности бульдозеров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C50">
        <w:rPr>
          <w:rFonts w:ascii="Times New Roman" w:hAnsi="Times New Roman" w:cs="Times New Roman"/>
          <w:sz w:val="24"/>
          <w:szCs w:val="24"/>
        </w:rPr>
        <w:t>Производительность бульдозера при послойной разработке грунта и перемещении</w:t>
      </w:r>
      <w:r w:rsidR="00A54AD5" w:rsidRPr="003E6C50">
        <w:rPr>
          <w:rFonts w:ascii="Times New Roman" w:hAnsi="Times New Roman" w:cs="Times New Roman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sz w:val="24"/>
          <w:szCs w:val="24"/>
        </w:rPr>
        <w:t>его на расстояние до 100 м можно определить по формуле: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0DC2" w:rsidRPr="003E6C50" w:rsidRDefault="00A66B0F" w:rsidP="003E6C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Э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ч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q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3600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ц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р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*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</m:oMath>
      <w:r w:rsidR="00C10DC2" w:rsidRPr="003E6C50">
        <w:rPr>
          <w:rFonts w:ascii="Times New Roman" w:hAnsi="Times New Roman" w:cs="Times New Roman"/>
          <w:sz w:val="24"/>
          <w:szCs w:val="24"/>
        </w:rPr>
        <w:t xml:space="preserve"> (м</w:t>
      </w:r>
      <w:r w:rsidR="00C10DC2" w:rsidRPr="003E6C5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E6C50">
        <w:rPr>
          <w:rFonts w:ascii="Times New Roman" w:hAnsi="Times New Roman" w:cs="Times New Roman"/>
          <w:sz w:val="24"/>
          <w:szCs w:val="24"/>
        </w:rPr>
        <w:t>/ч)                          (</w:t>
      </w:r>
      <w:r w:rsidR="00C10DC2" w:rsidRPr="003E6C50">
        <w:rPr>
          <w:rFonts w:ascii="Times New Roman" w:hAnsi="Times New Roman" w:cs="Times New Roman"/>
          <w:sz w:val="24"/>
          <w:szCs w:val="24"/>
        </w:rPr>
        <w:t>1)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0DC2" w:rsidRPr="003E6C50" w:rsidRDefault="00550427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C50">
        <w:rPr>
          <w:rFonts w:ascii="Times New Roman" w:hAnsi="Times New Roman" w:cs="Times New Roman"/>
          <w:sz w:val="24"/>
          <w:szCs w:val="24"/>
        </w:rPr>
        <w:t>г</w:t>
      </w:r>
      <w:r w:rsidR="00C10DC2" w:rsidRPr="003E6C50">
        <w:rPr>
          <w:rFonts w:ascii="Times New Roman" w:hAnsi="Times New Roman" w:cs="Times New Roman"/>
          <w:sz w:val="24"/>
          <w:szCs w:val="24"/>
        </w:rPr>
        <w:t xml:space="preserve">де </w:t>
      </w:r>
      <w:r w:rsidR="00C10DC2" w:rsidRPr="003E6C50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C10DC2" w:rsidRPr="003E6C50">
        <w:rPr>
          <w:rFonts w:ascii="Times New Roman" w:hAnsi="Times New Roman" w:cs="Times New Roman"/>
          <w:sz w:val="24"/>
          <w:szCs w:val="24"/>
        </w:rPr>
        <w:t xml:space="preserve"> – объём грунтовой призмы перед отвалом бульдозера на конечной стадии копания (принимаем по табл.1), м</w:t>
      </w:r>
      <w:r w:rsidR="00C10DC2" w:rsidRPr="003E6C5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10DC2" w:rsidRPr="003E6C50">
        <w:rPr>
          <w:rFonts w:ascii="Times New Roman" w:hAnsi="Times New Roman" w:cs="Times New Roman"/>
          <w:sz w:val="24"/>
          <w:szCs w:val="24"/>
        </w:rPr>
        <w:t>;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C50">
        <w:rPr>
          <w:rFonts w:ascii="Times New Roman" w:hAnsi="Times New Roman" w:cs="Times New Roman"/>
          <w:sz w:val="24"/>
          <w:szCs w:val="24"/>
          <w:lang w:val="en-US"/>
        </w:rPr>
        <w:lastRenderedPageBreak/>
        <w:t>t</w:t>
      </w:r>
      <w:r w:rsidRPr="003E6C50">
        <w:rPr>
          <w:rFonts w:ascii="Times New Roman" w:hAnsi="Times New Roman" w:cs="Times New Roman"/>
          <w:sz w:val="24"/>
          <w:szCs w:val="24"/>
          <w:vertAlign w:val="subscript"/>
        </w:rPr>
        <w:t>ц</w:t>
      </w:r>
      <w:r w:rsidRPr="003E6C50">
        <w:rPr>
          <w:rFonts w:ascii="Times New Roman" w:hAnsi="Times New Roman" w:cs="Times New Roman"/>
          <w:sz w:val="24"/>
          <w:szCs w:val="24"/>
        </w:rPr>
        <w:t xml:space="preserve"> – длительность рабочего цикла, с;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C50">
        <w:rPr>
          <w:rFonts w:ascii="Times New Roman" w:hAnsi="Times New Roman" w:cs="Times New Roman"/>
          <w:sz w:val="24"/>
          <w:szCs w:val="24"/>
        </w:rPr>
        <w:t>К</w:t>
      </w:r>
      <w:r w:rsidRPr="003E6C5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3E6C50">
        <w:rPr>
          <w:rFonts w:ascii="Times New Roman" w:hAnsi="Times New Roman" w:cs="Times New Roman"/>
          <w:sz w:val="24"/>
          <w:szCs w:val="24"/>
        </w:rPr>
        <w:t xml:space="preserve"> – коэффициент потерь грунта при движении бульдозера;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3E6C5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E6C5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="00092051">
        <w:rPr>
          <w:rFonts w:ascii="Times New Roman" w:hAnsi="Times New Roman" w:cs="Times New Roman"/>
          <w:sz w:val="24"/>
          <w:szCs w:val="24"/>
        </w:rPr>
        <w:t>=1-0,005 х</w:t>
      </w:r>
      <w:r w:rsidRPr="003E6C50">
        <w:rPr>
          <w:rFonts w:ascii="Times New Roman" w:hAnsi="Times New Roman" w:cs="Times New Roman"/>
          <w:sz w:val="24"/>
          <w:szCs w:val="24"/>
        </w:rPr>
        <w:t xml:space="preserve"> </w:t>
      </w:r>
      <w:r w:rsidRPr="0009205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l</w:t>
      </w:r>
      <w:r w:rsidRPr="00092051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>тр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C5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E6C5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="00092051">
        <w:rPr>
          <w:rFonts w:ascii="Times New Roman" w:hAnsi="Times New Roman" w:cs="Times New Roman"/>
          <w:sz w:val="24"/>
          <w:szCs w:val="24"/>
        </w:rPr>
        <w:t xml:space="preserve">=1-0,005 х </w:t>
      </w:r>
      <w:r w:rsidRPr="00092051">
        <w:rPr>
          <w:rFonts w:ascii="Times New Roman" w:hAnsi="Times New Roman" w:cs="Times New Roman"/>
          <w:sz w:val="24"/>
          <w:szCs w:val="24"/>
          <w:highlight w:val="yellow"/>
        </w:rPr>
        <w:t>49,5</w:t>
      </w:r>
      <w:r w:rsidRPr="003E6C50">
        <w:rPr>
          <w:rFonts w:ascii="Times New Roman" w:hAnsi="Times New Roman" w:cs="Times New Roman"/>
          <w:sz w:val="24"/>
          <w:szCs w:val="24"/>
        </w:rPr>
        <w:t>=0,8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6C50">
        <w:rPr>
          <w:rFonts w:ascii="Times New Roman" w:hAnsi="Times New Roman" w:cs="Times New Roman"/>
          <w:sz w:val="24"/>
          <w:szCs w:val="24"/>
        </w:rPr>
        <w:t>К</w:t>
      </w:r>
      <w:r w:rsidRPr="003E6C50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3E6C50">
        <w:rPr>
          <w:rFonts w:ascii="Times New Roman" w:hAnsi="Times New Roman" w:cs="Times New Roman"/>
          <w:sz w:val="24"/>
          <w:szCs w:val="24"/>
        </w:rPr>
        <w:t xml:space="preserve"> – коэффициент разрыхления грунта при разработке, для супеси =1,15;</w:t>
      </w:r>
    </w:p>
    <w:p w:rsidR="00C10DC2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sz w:val="24"/>
          <w:szCs w:val="24"/>
        </w:rPr>
        <w:t>К</w:t>
      </w:r>
      <w:r w:rsidRPr="003E6C50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Pr="003E6C50">
        <w:rPr>
          <w:rFonts w:ascii="Times New Roman" w:hAnsi="Times New Roman" w:cs="Times New Roman"/>
          <w:sz w:val="24"/>
          <w:szCs w:val="24"/>
        </w:rPr>
        <w:t xml:space="preserve"> –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коэффициент использования рабочего времени смены</w:t>
      </w:r>
      <w:r w:rsidR="00550427"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205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0,80…0,90).</w:t>
      </w:r>
    </w:p>
    <w:p w:rsidR="002C2403" w:rsidRPr="003E6C50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2403" w:rsidRPr="003E6C50" w:rsidRDefault="002C2403" w:rsidP="002C24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Таблица 1. Технические характеристики бульдозера ДЗ-18.</w:t>
      </w:r>
    </w:p>
    <w:tbl>
      <w:tblPr>
        <w:tblStyle w:val="a5"/>
        <w:tblW w:w="0" w:type="auto"/>
        <w:tblInd w:w="901" w:type="dxa"/>
        <w:tblLook w:val="04A0" w:firstRow="1" w:lastRow="0" w:firstColumn="1" w:lastColumn="0" w:noHBand="0" w:noVBand="1"/>
      </w:tblPr>
      <w:tblGrid>
        <w:gridCol w:w="6552"/>
        <w:gridCol w:w="1276"/>
      </w:tblGrid>
      <w:tr w:rsidR="002C2403" w:rsidRPr="003E6C50" w:rsidTr="002C2403">
        <w:tc>
          <w:tcPr>
            <w:tcW w:w="6552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Показатели</w:t>
            </w:r>
            <w:r w:rsidR="0096146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ДЗ-18</w:t>
            </w:r>
          </w:p>
        </w:tc>
      </w:tr>
      <w:tr w:rsidR="002C2403" w:rsidRPr="003E6C50" w:rsidTr="002C2403">
        <w:tc>
          <w:tcPr>
            <w:tcW w:w="6552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Тяговый класс, тс</w:t>
            </w:r>
          </w:p>
        </w:tc>
        <w:tc>
          <w:tcPr>
            <w:tcW w:w="1276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2C2403" w:rsidRPr="003E6C50" w:rsidTr="002C2403">
        <w:tc>
          <w:tcPr>
            <w:tcW w:w="6552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Продолжительность набора в призму грунта ІІ категории (супесь)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t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коп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</w:t>
            </w:r>
          </w:p>
        </w:tc>
        <w:tc>
          <w:tcPr>
            <w:tcW w:w="1276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2C2403" w:rsidRPr="003E6C50" w:rsidTr="002C2403">
        <w:tc>
          <w:tcPr>
            <w:tcW w:w="6552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Средний путь набора грунта в призму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коп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1276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2C2403" w:rsidRPr="003E6C50" w:rsidTr="002C2403">
        <w:tc>
          <w:tcPr>
            <w:tcW w:w="6552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Скорость перемещения бульдозера, км/ч</w:t>
            </w:r>
          </w:p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-при копании-наборе грунта в призму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коп</w:t>
            </w:r>
          </w:p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-при транспортировке и раскладке грунта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тр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р</w:t>
            </w:r>
          </w:p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-при порожнем пробеге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</w:rPr>
              <w:t>пор</w:t>
            </w:r>
          </w:p>
        </w:tc>
        <w:tc>
          <w:tcPr>
            <w:tcW w:w="1276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3,6</w:t>
            </w:r>
          </w:p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8,8</w:t>
            </w:r>
          </w:p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12,2</w:t>
            </w:r>
          </w:p>
        </w:tc>
      </w:tr>
      <w:tr w:rsidR="002C2403" w:rsidRPr="003E6C50" w:rsidTr="002C2403">
        <w:tc>
          <w:tcPr>
            <w:tcW w:w="6552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Масса, т</w:t>
            </w:r>
          </w:p>
        </w:tc>
        <w:tc>
          <w:tcPr>
            <w:tcW w:w="1276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16,3</w:t>
            </w:r>
          </w:p>
        </w:tc>
      </w:tr>
      <w:tr w:rsidR="002C2403" w:rsidRPr="003E6C50" w:rsidTr="002C2403">
        <w:tc>
          <w:tcPr>
            <w:tcW w:w="6552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Объём грунтовой призмы (для несвязного грунта - супесь) 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q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</w:t>
            </w: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2C2403" w:rsidRPr="003E6C50" w:rsidRDefault="002C2403" w:rsidP="00B3741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6C5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1,4</w:t>
            </w:r>
          </w:p>
        </w:tc>
      </w:tr>
    </w:tbl>
    <w:p w:rsidR="002C2403" w:rsidRDefault="002C2403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Длительность рабочего цикла определим по формуле: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0DC2" w:rsidRPr="003E6C50" w:rsidRDefault="00C10DC2" w:rsidP="003E6C5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ц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коп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тр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р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пор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доп</w:t>
      </w:r>
      <w:r w:rsidR="003E6C50" w:rsidRPr="003E6C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="003E6C50" w:rsidRPr="003E6C50">
        <w:rPr>
          <w:rFonts w:ascii="Times New Roman" w:hAnsi="Times New Roman" w:cs="Times New Roman"/>
          <w:color w:val="000000" w:themeColor="text1"/>
          <w:sz w:val="28"/>
          <w:szCs w:val="28"/>
        </w:rPr>
        <w:t>с)</w:t>
      </w:r>
      <w:r w:rsid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proofErr w:type="gramEnd"/>
      <w:r w:rsid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(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где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коп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длительность операции копания-набора грунта в призму (по табл.1), с;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коп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=9 с.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тр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длительность транспортировки грунтовой призмы, с;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тр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тр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тр </w:t>
      </w:r>
      <w:r w:rsidR="0010342B">
        <w:rPr>
          <w:rFonts w:ascii="Times New Roman" w:hAnsi="Times New Roman" w:cs="Times New Roman"/>
          <w:color w:val="000000" w:themeColor="text1"/>
          <w:sz w:val="24"/>
          <w:szCs w:val="24"/>
        </w:rPr>
        <w:t>(с)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где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тр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путь транспортировки грунтовой призмы, м;</w:t>
      </w:r>
    </w:p>
    <w:p w:rsidR="00C10DC2" w:rsidRPr="00092051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09205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US"/>
        </w:rPr>
        <w:t>l</w:t>
      </w:r>
      <w:r w:rsidRPr="0009205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bscript"/>
        </w:rPr>
        <w:t>тр</w:t>
      </w:r>
      <w:r w:rsidRPr="0009205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=а</w:t>
      </w:r>
      <w:r w:rsidRPr="0009205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bscript"/>
        </w:rPr>
        <w:t>1</w:t>
      </w:r>
      <w:r w:rsidRPr="0009205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/2+с (м) (3.4)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205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US"/>
        </w:rPr>
        <w:t>l</w:t>
      </w:r>
      <w:r w:rsidRPr="0009205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bscript"/>
        </w:rPr>
        <w:t>тр</w:t>
      </w:r>
      <w:r w:rsidRPr="0009205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=69/2+10=44,5 м.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тр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- скорос</w:t>
      </w:r>
      <w:bookmarkStart w:id="0" w:name="_GoBack"/>
      <w:bookmarkEnd w:id="0"/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ть транспортировки грунтовой призмы (по табл.1), м/ч;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тр</w:t>
      </w:r>
      <w:r w:rsidR="000920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=8,8 х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1000/3600=2,44 (м/ч)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тр</w:t>
      </w:r>
      <w:r w:rsidR="00FB23D8">
        <w:rPr>
          <w:rFonts w:ascii="Times New Roman" w:hAnsi="Times New Roman" w:cs="Times New Roman"/>
          <w:color w:val="000000" w:themeColor="text1"/>
          <w:sz w:val="24"/>
          <w:szCs w:val="24"/>
        </w:rPr>
        <w:t>=44,5/2,44≈19 м</w:t>
      </w:r>
      <w:r w:rsidR="00092051">
        <w:rPr>
          <w:rFonts w:ascii="Times New Roman" w:hAnsi="Times New Roman" w:cs="Times New Roman"/>
          <w:color w:val="000000" w:themeColor="text1"/>
          <w:sz w:val="24"/>
          <w:szCs w:val="24"/>
        </w:rPr>
        <w:t>ин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длительность раскладки грунтовой призмы слоем определённой толщины, при сосредоточенной разгрузке грунтовой призмы (в отвал, в кавальер, в обратную засыпку)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=0 (с).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пор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длительность порожнего хода бульдозера, с;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0DC2" w:rsidRPr="003E6C50" w:rsidRDefault="00C10DC2" w:rsidP="003E6C5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пор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=(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коп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тр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)/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тр </w:t>
      </w:r>
      <w:r w:rsidR="003E6C5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Start"/>
      <w:r w:rsid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с)   </w:t>
      </w:r>
      <w:proofErr w:type="gramEnd"/>
      <w:r w:rsid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(3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где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коп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средний путь набора грунта в призму (по табл.1), м;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длина пути раскладки (при сосредоточенной разгрузке грунтовой призмы в кавальер)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р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=0,</w:t>
      </w:r>
      <w:r w:rsidR="003E6C50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пор</w:t>
      </w:r>
      <w:proofErr w:type="gramStart"/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=(</w:t>
      </w:r>
      <w:proofErr w:type="gramEnd"/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4+19+0)/2,44≈10 с.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доп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дополнительное время на переключение передач, перестановку отвала и повороты,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доп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=10с.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ц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=9+19+0+10+10=48 с.</w:t>
      </w:r>
    </w:p>
    <w:p w:rsidR="00C10DC2" w:rsidRPr="003E6C50" w:rsidRDefault="00A66B0F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Э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ч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=1,4*</m:t>
        </m:r>
        <m:f>
          <m:f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3600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48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*</m:t>
        </m:r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0,8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*</m:t>
        </m:r>
        <m:f>
          <m:f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</w:rPr>
              <m:t>1,15</m:t>
            </m:r>
          </m:den>
        </m:f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*</m:t>
        </m:r>
        <m:r>
          <m:rPr>
            <m:sty m:val="p"/>
          </m:rPr>
          <w:rPr>
            <w:rFonts w:ascii="Cambria Math" w:eastAsia="Times New Roman" w:hAnsi="Cambria Math" w:cs="Times New Roman"/>
            <w:color w:val="000000" w:themeColor="text1"/>
            <w:sz w:val="24"/>
            <w:szCs w:val="24"/>
          </w:rPr>
          <m:t>0,9</m:t>
        </m:r>
      </m:oMath>
      <w:r w:rsidR="00C10DC2"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=65,739 ≈ 66 (м</w:t>
      </w:r>
      <w:r w:rsidR="00C10DC2" w:rsidRPr="003E6C5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C10DC2"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/ч).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Бульдозер подбирается по таблице приложения 2. Выбираем бульдозер ДЗ-18, технические характеристики которого приведены ниже.</w:t>
      </w: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Технические характеристики бульдозера ДЗ-18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0DC2" w:rsidRPr="003E6C50" w:rsidRDefault="00C10DC2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Литература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1. СП 45.13330.2012 Земляные сооружения, основания и фундаменты.</w:t>
      </w:r>
      <w:r w:rsidR="00A54AD5"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Актуализированная редакция СНиП 3.02.01-87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2. СНиП 3.2.1-87. Земляные сооружения. Основания и фундаменты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3. ГОСТ 17.5.3.06-85 Охрана природы. Земли. Требования к определению норм снятия</w:t>
      </w:r>
    </w:p>
    <w:p w:rsidR="00D719A5" w:rsidRPr="003E6C50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плодородного слоя почвы при производстве земляных работ</w:t>
      </w:r>
    </w:p>
    <w:p w:rsidR="00D719A5" w:rsidRDefault="00D719A5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4. В.М.Галузин, В.И. Телешев. Выбор машин и оборудования для производства</w:t>
      </w:r>
      <w:r w:rsidR="00A54AD5"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земляных </w:t>
      </w:r>
      <w:r w:rsidR="00FB23D8"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работ. -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</w:t>
      </w:r>
      <w:r w:rsidR="00FB23D8"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пособие. -</w:t>
      </w:r>
      <w:r w:rsidRPr="003E6C50">
        <w:rPr>
          <w:rFonts w:ascii="Times New Roman" w:hAnsi="Times New Roman" w:cs="Times New Roman"/>
          <w:color w:val="000000" w:themeColor="text1"/>
          <w:sz w:val="24"/>
          <w:szCs w:val="24"/>
        </w:rPr>
        <w:t>Л.-1987</w:t>
      </w:r>
      <w:r w:rsidR="000252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2521F" w:rsidRDefault="0002521F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521F" w:rsidRPr="003E6C50" w:rsidRDefault="0002521F" w:rsidP="003E6C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4214730"/>
            <wp:effectExtent l="19050" t="19050" r="13970" b="14605"/>
            <wp:docPr id="5" name="Рисунок 5" descr="https://agro-tm.ru/wp-content/uploads/1/a/b/1ab539c61bbea937d97b2ff48358c3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gro-tm.ru/wp-content/uploads/1/a/b/1ab539c61bbea937d97b2ff48358c34c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4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2521F" w:rsidRPr="003E6C50" w:rsidSect="003E6C5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9A5"/>
    <w:rsid w:val="0002521F"/>
    <w:rsid w:val="00092051"/>
    <w:rsid w:val="0010342B"/>
    <w:rsid w:val="002B1702"/>
    <w:rsid w:val="002C2403"/>
    <w:rsid w:val="003E6C50"/>
    <w:rsid w:val="00550427"/>
    <w:rsid w:val="006B221A"/>
    <w:rsid w:val="00854DDA"/>
    <w:rsid w:val="008B3EA3"/>
    <w:rsid w:val="00961466"/>
    <w:rsid w:val="00A54AD5"/>
    <w:rsid w:val="00A66B0F"/>
    <w:rsid w:val="00BA14C8"/>
    <w:rsid w:val="00C10DC2"/>
    <w:rsid w:val="00C24827"/>
    <w:rsid w:val="00D719A5"/>
    <w:rsid w:val="00FB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AE834"/>
  <w15:docId w15:val="{3F788082-55C3-4694-AF64-5727A3DF1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A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0DC2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Diakov</cp:lastModifiedBy>
  <cp:revision>13</cp:revision>
  <dcterms:created xsi:type="dcterms:W3CDTF">2018-11-29T08:29:00Z</dcterms:created>
  <dcterms:modified xsi:type="dcterms:W3CDTF">2023-02-11T14:38:00Z</dcterms:modified>
</cp:coreProperties>
</file>